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56EED" w14:textId="48645184" w:rsidR="00C1657C" w:rsidRDefault="002946F7" w:rsidP="002946F7">
      <w:pPr>
        <w:jc w:val="center"/>
        <w:rPr>
          <w:rFonts w:eastAsia="Calibri" w:cs="Arial"/>
          <w:b/>
          <w:sz w:val="28"/>
          <w:szCs w:val="28"/>
          <w:u w:val="single"/>
        </w:rPr>
      </w:pPr>
      <w:r w:rsidRPr="002946F7">
        <w:rPr>
          <w:rFonts w:eastAsia="Calibri" w:cs="Arial"/>
          <w:b/>
          <w:sz w:val="28"/>
          <w:szCs w:val="28"/>
          <w:u w:val="single"/>
        </w:rPr>
        <w:t>Vertrag über die Weitergabe von Zuwendungen</w:t>
      </w:r>
    </w:p>
    <w:p w14:paraId="4B98044D" w14:textId="77777777" w:rsidR="00ED0A0C" w:rsidRDefault="00ED0A0C" w:rsidP="002946F7">
      <w:pPr>
        <w:jc w:val="center"/>
        <w:rPr>
          <w:rFonts w:eastAsia="Calibri" w:cs="Arial"/>
          <w:b/>
          <w:sz w:val="28"/>
          <w:szCs w:val="28"/>
          <w:u w:val="single"/>
        </w:rPr>
      </w:pPr>
    </w:p>
    <w:p w14:paraId="3AE8503D" w14:textId="77777777" w:rsidR="00ED0A0C" w:rsidRDefault="00ED0A0C" w:rsidP="00ED0A0C">
      <w:pPr>
        <w:jc w:val="center"/>
        <w:rPr>
          <w:rFonts w:cs="Arial"/>
          <w:b/>
          <w:szCs w:val="24"/>
        </w:rPr>
      </w:pPr>
      <w:r w:rsidRPr="00644D90">
        <w:rPr>
          <w:rFonts w:cs="Arial"/>
          <w:b/>
          <w:szCs w:val="24"/>
        </w:rPr>
        <w:t xml:space="preserve">Startup-Impulsförderung zur Gründung von neuen Schulimkereien </w:t>
      </w:r>
    </w:p>
    <w:p w14:paraId="7D5B05E7" w14:textId="77777777" w:rsidR="00ED0A0C" w:rsidRDefault="00ED0A0C" w:rsidP="00ED0A0C">
      <w:pPr>
        <w:jc w:val="center"/>
        <w:rPr>
          <w:rFonts w:cs="Arial"/>
          <w:b/>
          <w:szCs w:val="24"/>
        </w:rPr>
      </w:pPr>
      <w:r w:rsidRPr="00644D90">
        <w:rPr>
          <w:rFonts w:cs="Arial"/>
          <w:b/>
          <w:szCs w:val="24"/>
        </w:rPr>
        <w:t>oder dem Einsatz von „Hightech- Bienenstöcken“</w:t>
      </w:r>
    </w:p>
    <w:p w14:paraId="11699948" w14:textId="77777777" w:rsidR="00ED0A0C" w:rsidRDefault="00ED0A0C" w:rsidP="002946F7">
      <w:pPr>
        <w:jc w:val="center"/>
        <w:rPr>
          <w:rFonts w:eastAsia="Calibri" w:cs="Arial"/>
          <w:b/>
          <w:sz w:val="28"/>
          <w:szCs w:val="28"/>
          <w:u w:val="single"/>
        </w:rPr>
      </w:pPr>
    </w:p>
    <w:p w14:paraId="780D6B89" w14:textId="77777777" w:rsidR="002946F7" w:rsidRDefault="002946F7" w:rsidP="002946F7">
      <w:pPr>
        <w:rPr>
          <w:rFonts w:eastAsia="Calibri" w:cs="Arial"/>
          <w:szCs w:val="24"/>
        </w:rPr>
      </w:pPr>
    </w:p>
    <w:p w14:paraId="35E3671F" w14:textId="77777777" w:rsidR="002946F7" w:rsidRDefault="002946F7" w:rsidP="002946F7">
      <w:pPr>
        <w:rPr>
          <w:rFonts w:eastAsia="Calibri" w:cs="Arial"/>
          <w:szCs w:val="24"/>
        </w:rPr>
      </w:pPr>
    </w:p>
    <w:p w14:paraId="6FF7EFF1" w14:textId="77777777" w:rsidR="002946F7" w:rsidRDefault="002946F7" w:rsidP="002946F7">
      <w:pPr>
        <w:rPr>
          <w:szCs w:val="24"/>
        </w:rPr>
      </w:pPr>
      <w:r>
        <w:rPr>
          <w:szCs w:val="24"/>
        </w:rPr>
        <w:t>Erstempfänger</w:t>
      </w:r>
    </w:p>
    <w:p w14:paraId="15BCEF08" w14:textId="77777777" w:rsidR="002946F7" w:rsidRDefault="002946F7" w:rsidP="002946F7">
      <w:pPr>
        <w:rPr>
          <w:szCs w:val="24"/>
        </w:rPr>
      </w:pPr>
    </w:p>
    <w:tbl>
      <w:tblPr>
        <w:tblStyle w:val="Tabellenraster"/>
        <w:tblW w:w="0" w:type="auto"/>
        <w:tblLook w:val="04A0" w:firstRow="1" w:lastRow="0" w:firstColumn="1" w:lastColumn="0" w:noHBand="0" w:noVBand="1"/>
      </w:tblPr>
      <w:tblGrid>
        <w:gridCol w:w="9679"/>
      </w:tblGrid>
      <w:tr w:rsidR="002946F7" w14:paraId="61978DEC" w14:textId="77777777" w:rsidTr="008506CE">
        <w:tc>
          <w:tcPr>
            <w:tcW w:w="9679" w:type="dxa"/>
            <w:tcBorders>
              <w:top w:val="nil"/>
              <w:left w:val="nil"/>
              <w:right w:val="nil"/>
            </w:tcBorders>
          </w:tcPr>
          <w:p w14:paraId="0C2AD0C3" w14:textId="77777777" w:rsidR="002946F7" w:rsidRDefault="002946F7" w:rsidP="002946F7">
            <w:pPr>
              <w:rPr>
                <w:szCs w:val="24"/>
              </w:rPr>
            </w:pPr>
          </w:p>
        </w:tc>
      </w:tr>
      <w:tr w:rsidR="002946F7" w14:paraId="5C9F29C7" w14:textId="77777777" w:rsidTr="008506CE">
        <w:tc>
          <w:tcPr>
            <w:tcW w:w="9679" w:type="dxa"/>
            <w:tcBorders>
              <w:left w:val="nil"/>
              <w:bottom w:val="nil"/>
              <w:right w:val="nil"/>
            </w:tcBorders>
          </w:tcPr>
          <w:p w14:paraId="0E2C82B6" w14:textId="77777777" w:rsidR="002946F7" w:rsidRDefault="002946F7" w:rsidP="002946F7">
            <w:pPr>
              <w:rPr>
                <w:szCs w:val="24"/>
              </w:rPr>
            </w:pPr>
            <w:r>
              <w:rPr>
                <w:szCs w:val="24"/>
              </w:rPr>
              <w:t>Name des Landesimkerverbandes</w:t>
            </w:r>
          </w:p>
        </w:tc>
      </w:tr>
      <w:tr w:rsidR="002946F7" w14:paraId="204B178B" w14:textId="77777777" w:rsidTr="008506CE">
        <w:tc>
          <w:tcPr>
            <w:tcW w:w="9679" w:type="dxa"/>
            <w:tcBorders>
              <w:top w:val="nil"/>
              <w:left w:val="nil"/>
              <w:right w:val="nil"/>
            </w:tcBorders>
          </w:tcPr>
          <w:p w14:paraId="611290D5" w14:textId="77777777" w:rsidR="002946F7" w:rsidRDefault="002946F7" w:rsidP="002946F7">
            <w:pPr>
              <w:rPr>
                <w:szCs w:val="24"/>
              </w:rPr>
            </w:pPr>
          </w:p>
        </w:tc>
      </w:tr>
      <w:tr w:rsidR="002946F7" w14:paraId="66C16073" w14:textId="77777777" w:rsidTr="008506CE">
        <w:tc>
          <w:tcPr>
            <w:tcW w:w="9679" w:type="dxa"/>
            <w:tcBorders>
              <w:left w:val="nil"/>
              <w:bottom w:val="nil"/>
              <w:right w:val="nil"/>
            </w:tcBorders>
          </w:tcPr>
          <w:p w14:paraId="7BD2F301" w14:textId="77777777" w:rsidR="002946F7" w:rsidRDefault="002946F7" w:rsidP="002946F7">
            <w:pPr>
              <w:rPr>
                <w:szCs w:val="24"/>
              </w:rPr>
            </w:pPr>
            <w:r>
              <w:rPr>
                <w:szCs w:val="24"/>
              </w:rPr>
              <w:t>Vertreten durch (Vor- und Nachname)</w:t>
            </w:r>
          </w:p>
        </w:tc>
      </w:tr>
      <w:tr w:rsidR="002946F7" w14:paraId="03A43DDC" w14:textId="77777777" w:rsidTr="008506CE">
        <w:tc>
          <w:tcPr>
            <w:tcW w:w="9679" w:type="dxa"/>
            <w:tcBorders>
              <w:top w:val="nil"/>
              <w:left w:val="nil"/>
              <w:right w:val="nil"/>
            </w:tcBorders>
          </w:tcPr>
          <w:p w14:paraId="239E1BFB" w14:textId="77777777" w:rsidR="002946F7" w:rsidRDefault="002946F7" w:rsidP="002946F7">
            <w:pPr>
              <w:rPr>
                <w:szCs w:val="24"/>
              </w:rPr>
            </w:pPr>
          </w:p>
        </w:tc>
      </w:tr>
      <w:tr w:rsidR="002946F7" w14:paraId="6200DF80" w14:textId="77777777" w:rsidTr="008506CE">
        <w:tc>
          <w:tcPr>
            <w:tcW w:w="9679" w:type="dxa"/>
            <w:tcBorders>
              <w:left w:val="nil"/>
              <w:bottom w:val="nil"/>
              <w:right w:val="nil"/>
            </w:tcBorders>
          </w:tcPr>
          <w:p w14:paraId="4EE5D3F3" w14:textId="77777777" w:rsidR="002946F7" w:rsidRDefault="002946F7" w:rsidP="002946F7">
            <w:pPr>
              <w:rPr>
                <w:szCs w:val="24"/>
              </w:rPr>
            </w:pPr>
            <w:r>
              <w:rPr>
                <w:szCs w:val="24"/>
              </w:rPr>
              <w:t>Straße, Hausnummer</w:t>
            </w:r>
          </w:p>
        </w:tc>
      </w:tr>
      <w:tr w:rsidR="002946F7" w14:paraId="32E23060" w14:textId="77777777" w:rsidTr="008506CE">
        <w:tc>
          <w:tcPr>
            <w:tcW w:w="9679" w:type="dxa"/>
            <w:tcBorders>
              <w:top w:val="nil"/>
              <w:left w:val="nil"/>
              <w:right w:val="nil"/>
            </w:tcBorders>
          </w:tcPr>
          <w:p w14:paraId="568B239D" w14:textId="77777777" w:rsidR="002946F7" w:rsidRDefault="002946F7" w:rsidP="002946F7">
            <w:pPr>
              <w:rPr>
                <w:szCs w:val="24"/>
              </w:rPr>
            </w:pPr>
          </w:p>
        </w:tc>
      </w:tr>
      <w:tr w:rsidR="002946F7" w14:paraId="410AEDFF" w14:textId="77777777" w:rsidTr="008506CE">
        <w:tc>
          <w:tcPr>
            <w:tcW w:w="9679" w:type="dxa"/>
            <w:tcBorders>
              <w:left w:val="nil"/>
              <w:bottom w:val="nil"/>
              <w:right w:val="nil"/>
            </w:tcBorders>
          </w:tcPr>
          <w:p w14:paraId="2A66B3C2" w14:textId="77777777" w:rsidR="002946F7" w:rsidRDefault="002946F7" w:rsidP="002946F7">
            <w:pPr>
              <w:rPr>
                <w:szCs w:val="24"/>
              </w:rPr>
            </w:pPr>
            <w:r>
              <w:rPr>
                <w:szCs w:val="24"/>
              </w:rPr>
              <w:t>PLZ, Ort</w:t>
            </w:r>
          </w:p>
        </w:tc>
      </w:tr>
    </w:tbl>
    <w:p w14:paraId="5B592547" w14:textId="77777777" w:rsidR="002946F7" w:rsidRDefault="002946F7" w:rsidP="002946F7">
      <w:pPr>
        <w:rPr>
          <w:szCs w:val="24"/>
        </w:rPr>
      </w:pPr>
    </w:p>
    <w:p w14:paraId="05F8063D" w14:textId="77777777" w:rsidR="002946F7" w:rsidRDefault="008506CE" w:rsidP="002946F7">
      <w:pPr>
        <w:rPr>
          <w:szCs w:val="24"/>
        </w:rPr>
      </w:pPr>
      <w:r>
        <w:rPr>
          <w:szCs w:val="24"/>
        </w:rPr>
        <w:t>Letztempfänger</w:t>
      </w:r>
    </w:p>
    <w:p w14:paraId="171405CA" w14:textId="77777777" w:rsidR="008506CE" w:rsidRDefault="008506CE" w:rsidP="002946F7">
      <w:pPr>
        <w:rPr>
          <w:szCs w:val="24"/>
        </w:rPr>
      </w:pPr>
    </w:p>
    <w:tbl>
      <w:tblPr>
        <w:tblStyle w:val="Tabellenraster"/>
        <w:tblW w:w="0" w:type="auto"/>
        <w:tblLook w:val="04A0" w:firstRow="1" w:lastRow="0" w:firstColumn="1" w:lastColumn="0" w:noHBand="0" w:noVBand="1"/>
      </w:tblPr>
      <w:tblGrid>
        <w:gridCol w:w="9679"/>
      </w:tblGrid>
      <w:tr w:rsidR="008506CE" w14:paraId="7CE024A2" w14:textId="77777777" w:rsidTr="005872F7">
        <w:tc>
          <w:tcPr>
            <w:tcW w:w="9679" w:type="dxa"/>
            <w:tcBorders>
              <w:top w:val="nil"/>
              <w:left w:val="nil"/>
              <w:right w:val="nil"/>
            </w:tcBorders>
          </w:tcPr>
          <w:p w14:paraId="762ECFA0" w14:textId="77777777" w:rsidR="008506CE" w:rsidRDefault="008506CE" w:rsidP="005872F7">
            <w:pPr>
              <w:rPr>
                <w:szCs w:val="24"/>
              </w:rPr>
            </w:pPr>
          </w:p>
        </w:tc>
      </w:tr>
      <w:tr w:rsidR="008506CE" w14:paraId="61160C74" w14:textId="77777777" w:rsidTr="005872F7">
        <w:tc>
          <w:tcPr>
            <w:tcW w:w="9679" w:type="dxa"/>
            <w:tcBorders>
              <w:left w:val="nil"/>
              <w:bottom w:val="nil"/>
              <w:right w:val="nil"/>
            </w:tcBorders>
          </w:tcPr>
          <w:p w14:paraId="3DEA5044" w14:textId="68055169" w:rsidR="008506CE" w:rsidRDefault="008506CE" w:rsidP="00ED0A0C">
            <w:pPr>
              <w:rPr>
                <w:szCs w:val="24"/>
              </w:rPr>
            </w:pPr>
            <w:r>
              <w:rPr>
                <w:szCs w:val="24"/>
              </w:rPr>
              <w:t xml:space="preserve">Name </w:t>
            </w:r>
            <w:r w:rsidR="00ED0A0C">
              <w:rPr>
                <w:szCs w:val="24"/>
              </w:rPr>
              <w:t>der Schule</w:t>
            </w:r>
          </w:p>
        </w:tc>
      </w:tr>
      <w:tr w:rsidR="008506CE" w14:paraId="6AC73F90" w14:textId="77777777" w:rsidTr="005872F7">
        <w:tc>
          <w:tcPr>
            <w:tcW w:w="9679" w:type="dxa"/>
            <w:tcBorders>
              <w:top w:val="nil"/>
              <w:left w:val="nil"/>
              <w:right w:val="nil"/>
            </w:tcBorders>
          </w:tcPr>
          <w:p w14:paraId="25E8B07C" w14:textId="77777777" w:rsidR="008506CE" w:rsidRDefault="008506CE" w:rsidP="005872F7">
            <w:pPr>
              <w:rPr>
                <w:szCs w:val="24"/>
              </w:rPr>
            </w:pPr>
          </w:p>
        </w:tc>
      </w:tr>
      <w:tr w:rsidR="008506CE" w14:paraId="08CFBDD0" w14:textId="77777777" w:rsidTr="008506CE">
        <w:tc>
          <w:tcPr>
            <w:tcW w:w="9679" w:type="dxa"/>
            <w:tcBorders>
              <w:left w:val="nil"/>
              <w:bottom w:val="nil"/>
              <w:right w:val="nil"/>
            </w:tcBorders>
          </w:tcPr>
          <w:p w14:paraId="78DE7231" w14:textId="77777777" w:rsidR="008506CE" w:rsidRDefault="008506CE" w:rsidP="005872F7">
            <w:pPr>
              <w:rPr>
                <w:szCs w:val="24"/>
              </w:rPr>
            </w:pPr>
            <w:r>
              <w:rPr>
                <w:szCs w:val="24"/>
              </w:rPr>
              <w:t>Vertreten durch (Vor- und Nachname)</w:t>
            </w:r>
          </w:p>
        </w:tc>
      </w:tr>
      <w:tr w:rsidR="008506CE" w14:paraId="478952A7" w14:textId="77777777" w:rsidTr="005872F7">
        <w:tc>
          <w:tcPr>
            <w:tcW w:w="9679" w:type="dxa"/>
            <w:tcBorders>
              <w:top w:val="nil"/>
              <w:left w:val="nil"/>
              <w:right w:val="nil"/>
            </w:tcBorders>
          </w:tcPr>
          <w:p w14:paraId="24B1795B" w14:textId="77777777" w:rsidR="008506CE" w:rsidRDefault="008506CE" w:rsidP="005872F7">
            <w:pPr>
              <w:rPr>
                <w:szCs w:val="24"/>
              </w:rPr>
            </w:pPr>
          </w:p>
        </w:tc>
      </w:tr>
      <w:tr w:rsidR="008506CE" w14:paraId="51BD4C0D" w14:textId="77777777" w:rsidTr="005872F7">
        <w:tc>
          <w:tcPr>
            <w:tcW w:w="9679" w:type="dxa"/>
            <w:tcBorders>
              <w:left w:val="nil"/>
              <w:bottom w:val="nil"/>
              <w:right w:val="nil"/>
            </w:tcBorders>
          </w:tcPr>
          <w:p w14:paraId="7A34AC27" w14:textId="77777777" w:rsidR="008506CE" w:rsidRDefault="008506CE" w:rsidP="005872F7">
            <w:pPr>
              <w:rPr>
                <w:szCs w:val="24"/>
              </w:rPr>
            </w:pPr>
            <w:r>
              <w:rPr>
                <w:szCs w:val="24"/>
              </w:rPr>
              <w:t>Straße, Hausnummer</w:t>
            </w:r>
          </w:p>
        </w:tc>
      </w:tr>
      <w:tr w:rsidR="008506CE" w14:paraId="481F049A" w14:textId="77777777" w:rsidTr="005872F7">
        <w:tc>
          <w:tcPr>
            <w:tcW w:w="9679" w:type="dxa"/>
            <w:tcBorders>
              <w:top w:val="nil"/>
              <w:left w:val="nil"/>
              <w:right w:val="nil"/>
            </w:tcBorders>
          </w:tcPr>
          <w:p w14:paraId="661B8089" w14:textId="77777777" w:rsidR="008506CE" w:rsidRDefault="008506CE" w:rsidP="005872F7">
            <w:pPr>
              <w:rPr>
                <w:szCs w:val="24"/>
              </w:rPr>
            </w:pPr>
          </w:p>
        </w:tc>
      </w:tr>
      <w:tr w:rsidR="008506CE" w14:paraId="4C7B074C" w14:textId="77777777" w:rsidTr="005872F7">
        <w:tc>
          <w:tcPr>
            <w:tcW w:w="9679" w:type="dxa"/>
            <w:tcBorders>
              <w:left w:val="nil"/>
              <w:bottom w:val="nil"/>
              <w:right w:val="nil"/>
            </w:tcBorders>
          </w:tcPr>
          <w:p w14:paraId="690052F2" w14:textId="77777777" w:rsidR="008506CE" w:rsidRDefault="008506CE" w:rsidP="005872F7">
            <w:pPr>
              <w:rPr>
                <w:szCs w:val="24"/>
              </w:rPr>
            </w:pPr>
            <w:r>
              <w:rPr>
                <w:szCs w:val="24"/>
              </w:rPr>
              <w:t>PLZ, Ort</w:t>
            </w:r>
          </w:p>
        </w:tc>
      </w:tr>
    </w:tbl>
    <w:p w14:paraId="26D3D257" w14:textId="77777777" w:rsidR="008506CE" w:rsidRDefault="008506CE" w:rsidP="002946F7">
      <w:pPr>
        <w:rPr>
          <w:szCs w:val="24"/>
        </w:rPr>
      </w:pPr>
    </w:p>
    <w:p w14:paraId="27392461" w14:textId="77777777" w:rsidR="008506CE" w:rsidRDefault="008506CE" w:rsidP="008506CE">
      <w:pPr>
        <w:spacing w:line="360" w:lineRule="atLeast"/>
      </w:pPr>
      <w:r>
        <w:t>Auf der Basis Ihres Antrags wird folgender privatrechtlicher Zuwendungsvertrag geschlossen:</w:t>
      </w:r>
    </w:p>
    <w:p w14:paraId="56356FBC" w14:textId="77777777" w:rsidR="008506CE" w:rsidRDefault="008506CE" w:rsidP="008506CE">
      <w:pPr>
        <w:spacing w:line="360" w:lineRule="atLeast"/>
      </w:pPr>
    </w:p>
    <w:p w14:paraId="5B0C589C" w14:textId="13776E44" w:rsidR="008506CE" w:rsidRDefault="008506CE" w:rsidP="008506CE">
      <w:pPr>
        <w:pStyle w:val="Listenabsatz"/>
        <w:numPr>
          <w:ilvl w:val="0"/>
          <w:numId w:val="1"/>
        </w:numPr>
        <w:spacing w:after="0" w:line="360" w:lineRule="atLeast"/>
        <w:ind w:left="502" w:hanging="502"/>
        <w:jc w:val="both"/>
        <w:rPr>
          <w:rFonts w:ascii="Arial" w:hAnsi="Arial" w:cs="Arial"/>
          <w:sz w:val="24"/>
          <w:szCs w:val="24"/>
        </w:rPr>
      </w:pPr>
      <w:r w:rsidRPr="008506CE">
        <w:rPr>
          <w:rFonts w:ascii="Arial" w:hAnsi="Arial" w:cs="Arial"/>
          <w:sz w:val="24"/>
          <w:szCs w:val="24"/>
        </w:rPr>
        <w:t xml:space="preserve">Der Erstempfänger gewährt Ihnen im Rahmen der Förderung des Projektes </w:t>
      </w:r>
      <w:r w:rsidRPr="00946EBA">
        <w:rPr>
          <w:rFonts w:ascii="Arial" w:hAnsi="Arial" w:cs="Arial"/>
          <w:sz w:val="24"/>
          <w:szCs w:val="24"/>
        </w:rPr>
        <w:t>„</w:t>
      </w:r>
      <w:r w:rsidR="002C170A" w:rsidRPr="00946EBA">
        <w:rPr>
          <w:rFonts w:ascii="Arial" w:hAnsi="Arial" w:cs="Arial"/>
          <w:sz w:val="24"/>
          <w:szCs w:val="24"/>
        </w:rPr>
        <w:t>Startup-Impulsförderung zur Gründung von neuen Schulimkereien oder dem Einsatz von „Hightech-Bienenstöcken</w:t>
      </w:r>
      <w:r w:rsidR="00946EBA" w:rsidRPr="00946EBA">
        <w:rPr>
          <w:rFonts w:ascii="Arial" w:hAnsi="Arial" w:cs="Arial"/>
          <w:sz w:val="24"/>
          <w:szCs w:val="24"/>
        </w:rPr>
        <w:t>“</w:t>
      </w:r>
      <w:r w:rsidR="00946EBA">
        <w:rPr>
          <w:rFonts w:ascii="Arial" w:hAnsi="Arial" w:cs="Arial"/>
          <w:sz w:val="24"/>
          <w:szCs w:val="24"/>
        </w:rPr>
        <w:t xml:space="preserve"> (</w:t>
      </w:r>
      <w:r w:rsidR="002D75DD">
        <w:rPr>
          <w:rFonts w:ascii="Arial" w:hAnsi="Arial" w:cs="Arial"/>
          <w:sz w:val="24"/>
          <w:szCs w:val="24"/>
        </w:rPr>
        <w:t>Technisierung</w:t>
      </w:r>
      <w:r w:rsidR="007B61CB">
        <w:rPr>
          <w:rFonts w:ascii="Arial" w:hAnsi="Arial" w:cs="Arial"/>
          <w:sz w:val="24"/>
          <w:szCs w:val="24"/>
        </w:rPr>
        <w:t xml:space="preserve"> der Bienenstöcke</w:t>
      </w:r>
      <w:r w:rsidR="00946EBA">
        <w:rPr>
          <w:rFonts w:ascii="Arial" w:hAnsi="Arial" w:cs="Arial"/>
          <w:sz w:val="24"/>
          <w:szCs w:val="24"/>
        </w:rPr>
        <w:t xml:space="preserve"> mit Kameras, Sensoren, etc.)</w:t>
      </w:r>
      <w:r w:rsidRPr="008506CE">
        <w:rPr>
          <w:rFonts w:ascii="Arial" w:hAnsi="Arial" w:cs="Arial"/>
          <w:sz w:val="24"/>
          <w:szCs w:val="24"/>
        </w:rPr>
        <w:t xml:space="preserve"> </w:t>
      </w:r>
      <w:r w:rsidR="001A2808">
        <w:rPr>
          <w:rFonts w:ascii="Arial" w:hAnsi="Arial" w:cs="Arial"/>
          <w:sz w:val="24"/>
          <w:szCs w:val="24"/>
        </w:rPr>
        <w:t xml:space="preserve">für den </w:t>
      </w:r>
      <w:r w:rsidR="00C70BD2">
        <w:rPr>
          <w:rFonts w:ascii="Arial" w:hAnsi="Arial" w:cs="Arial"/>
          <w:sz w:val="24"/>
          <w:szCs w:val="24"/>
        </w:rPr>
        <w:t>Bewilligungsz</w:t>
      </w:r>
      <w:r w:rsidR="00C939A9">
        <w:rPr>
          <w:rFonts w:ascii="Arial" w:hAnsi="Arial" w:cs="Arial"/>
          <w:sz w:val="24"/>
          <w:szCs w:val="24"/>
        </w:rPr>
        <w:t xml:space="preserve">eitraum </w:t>
      </w:r>
      <w:r w:rsidR="001A2808">
        <w:rPr>
          <w:rFonts w:ascii="Arial" w:hAnsi="Arial" w:cs="Arial"/>
          <w:sz w:val="24"/>
          <w:szCs w:val="24"/>
        </w:rPr>
        <w:t xml:space="preserve">vom </w:t>
      </w:r>
      <w:r w:rsidR="00344DDC">
        <w:rPr>
          <w:rFonts w:ascii="Arial" w:hAnsi="Arial" w:cs="Arial"/>
          <w:sz w:val="24"/>
          <w:szCs w:val="24"/>
        </w:rPr>
        <w:t>1. März</w:t>
      </w:r>
      <w:r w:rsidR="00C939A9">
        <w:rPr>
          <w:rFonts w:ascii="Arial" w:hAnsi="Arial" w:cs="Arial"/>
          <w:sz w:val="24"/>
          <w:szCs w:val="24"/>
        </w:rPr>
        <w:t xml:space="preserve"> 2022</w:t>
      </w:r>
      <w:r w:rsidR="00C939A9" w:rsidRPr="008506CE">
        <w:rPr>
          <w:rFonts w:ascii="Arial" w:hAnsi="Arial" w:cs="Arial"/>
          <w:sz w:val="24"/>
          <w:szCs w:val="24"/>
        </w:rPr>
        <w:t xml:space="preserve"> </w:t>
      </w:r>
      <w:r w:rsidR="00344DDC">
        <w:rPr>
          <w:rFonts w:ascii="Arial" w:hAnsi="Arial" w:cs="Arial"/>
          <w:sz w:val="24"/>
          <w:szCs w:val="24"/>
        </w:rPr>
        <w:t xml:space="preserve">bis 31. Dezember </w:t>
      </w:r>
      <w:r w:rsidR="006970B9">
        <w:rPr>
          <w:rFonts w:ascii="Arial" w:hAnsi="Arial" w:cs="Arial"/>
          <w:sz w:val="24"/>
          <w:szCs w:val="24"/>
        </w:rPr>
        <w:t>2023</w:t>
      </w:r>
      <w:r w:rsidRPr="008506CE">
        <w:rPr>
          <w:rFonts w:ascii="Arial" w:hAnsi="Arial" w:cs="Arial"/>
          <w:sz w:val="24"/>
          <w:szCs w:val="24"/>
        </w:rPr>
        <w:t xml:space="preserve"> ein</w:t>
      </w:r>
      <w:r w:rsidR="001A2808">
        <w:rPr>
          <w:rFonts w:ascii="Arial" w:hAnsi="Arial" w:cs="Arial"/>
          <w:sz w:val="24"/>
          <w:szCs w:val="24"/>
        </w:rPr>
        <w:t xml:space="preserve">en Zuschuss </w:t>
      </w:r>
      <w:r w:rsidRPr="008506CE">
        <w:rPr>
          <w:rFonts w:ascii="Arial" w:hAnsi="Arial" w:cs="Arial"/>
          <w:sz w:val="24"/>
          <w:szCs w:val="24"/>
        </w:rPr>
        <w:t xml:space="preserve">zur Projektförderung </w:t>
      </w:r>
      <w:r w:rsidR="009270D5">
        <w:rPr>
          <w:rFonts w:ascii="Arial" w:hAnsi="Arial" w:cs="Arial"/>
          <w:sz w:val="24"/>
          <w:szCs w:val="24"/>
        </w:rPr>
        <w:t>zur Deckung der anfallenden Kosten.</w:t>
      </w:r>
      <w:r w:rsidR="002C170A">
        <w:rPr>
          <w:rFonts w:ascii="Arial" w:hAnsi="Arial" w:cs="Arial"/>
          <w:sz w:val="24"/>
          <w:szCs w:val="24"/>
        </w:rPr>
        <w:t xml:space="preserve"> </w:t>
      </w:r>
    </w:p>
    <w:p w14:paraId="5F77918C" w14:textId="77777777" w:rsidR="00946EBA" w:rsidRPr="008506CE" w:rsidRDefault="00946EBA" w:rsidP="00946EBA">
      <w:pPr>
        <w:pStyle w:val="Listenabsatz"/>
        <w:spacing w:after="0" w:line="360" w:lineRule="atLeast"/>
        <w:ind w:left="502"/>
        <w:jc w:val="both"/>
        <w:rPr>
          <w:rFonts w:ascii="Arial" w:hAnsi="Arial" w:cs="Arial"/>
          <w:sz w:val="24"/>
          <w:szCs w:val="24"/>
        </w:rPr>
      </w:pPr>
    </w:p>
    <w:p w14:paraId="66CB3C29" w14:textId="77777777" w:rsidR="00A63125" w:rsidRDefault="008506CE" w:rsidP="00946EBA">
      <w:pPr>
        <w:spacing w:line="360" w:lineRule="atLeast"/>
        <w:ind w:left="502"/>
        <w:jc w:val="both"/>
        <w:rPr>
          <w:rFonts w:cs="Arial"/>
          <w:szCs w:val="24"/>
        </w:rPr>
      </w:pPr>
      <w:r w:rsidRPr="008506CE">
        <w:rPr>
          <w:rFonts w:cs="Arial"/>
          <w:szCs w:val="24"/>
        </w:rPr>
        <w:t xml:space="preserve">Die Zuwendung ist wirtschaftlich und sparsam zu verwenden. Die Auszahlung </w:t>
      </w:r>
      <w:r w:rsidR="001A2808">
        <w:rPr>
          <w:rFonts w:cs="Arial"/>
          <w:szCs w:val="24"/>
        </w:rPr>
        <w:t>des Zuschusses</w:t>
      </w:r>
      <w:r w:rsidR="009270D5">
        <w:rPr>
          <w:rFonts w:cs="Arial"/>
          <w:szCs w:val="24"/>
        </w:rPr>
        <w:t xml:space="preserve"> wird nach Abschluss dieses Vertrages durch den Erstempfänger an den Letztempfänger durchgeführt</w:t>
      </w:r>
      <w:r w:rsidRPr="008506CE">
        <w:rPr>
          <w:rFonts w:cs="Arial"/>
          <w:szCs w:val="24"/>
        </w:rPr>
        <w:t xml:space="preserve">. </w:t>
      </w:r>
      <w:r w:rsidR="00A63125" w:rsidRPr="008506CE">
        <w:rPr>
          <w:rFonts w:cs="Arial"/>
          <w:szCs w:val="24"/>
        </w:rPr>
        <w:t xml:space="preserve">Die Zuwendung wird in Form eines Zuschusses als </w:t>
      </w:r>
      <w:r w:rsidR="00A63125">
        <w:rPr>
          <w:rFonts w:cs="Arial"/>
          <w:szCs w:val="24"/>
        </w:rPr>
        <w:t>Festbetrags</w:t>
      </w:r>
      <w:r w:rsidR="00A63125" w:rsidRPr="008506CE">
        <w:rPr>
          <w:rFonts w:cs="Arial"/>
          <w:szCs w:val="24"/>
        </w:rPr>
        <w:t xml:space="preserve">finanzierung gewährt. </w:t>
      </w:r>
    </w:p>
    <w:p w14:paraId="73B3660D" w14:textId="77777777" w:rsidR="00A63125" w:rsidRDefault="00A63125" w:rsidP="00946EBA">
      <w:pPr>
        <w:spacing w:line="360" w:lineRule="atLeast"/>
        <w:ind w:left="502"/>
        <w:jc w:val="both"/>
        <w:rPr>
          <w:rFonts w:cs="Arial"/>
          <w:szCs w:val="24"/>
        </w:rPr>
      </w:pPr>
    </w:p>
    <w:p w14:paraId="03B0464C" w14:textId="4E712F81" w:rsidR="008506CE" w:rsidRPr="008506CE" w:rsidRDefault="00A63125" w:rsidP="00946EBA">
      <w:pPr>
        <w:spacing w:line="360" w:lineRule="atLeast"/>
        <w:ind w:left="502"/>
        <w:jc w:val="both"/>
        <w:rPr>
          <w:rFonts w:cs="Arial"/>
          <w:szCs w:val="24"/>
        </w:rPr>
      </w:pPr>
      <w:r w:rsidRPr="0025621F">
        <w:rPr>
          <w:rFonts w:cs="Arial"/>
          <w:szCs w:val="24"/>
        </w:rPr>
        <w:t xml:space="preserve">Der Zuschuss (Förderpauschale) wird auf 1.000 € </w:t>
      </w:r>
      <w:r w:rsidR="005C7986" w:rsidRPr="0025621F">
        <w:rPr>
          <w:rFonts w:cs="Arial"/>
          <w:szCs w:val="24"/>
        </w:rPr>
        <w:t>zur Gründung einer Schulimkerei festgesetzt bzw. auf 500 € zur Technisierung der Bienenstöcke.</w:t>
      </w:r>
      <w:bookmarkStart w:id="0" w:name="_GoBack"/>
      <w:bookmarkEnd w:id="0"/>
    </w:p>
    <w:p w14:paraId="1C857B1F" w14:textId="77777777" w:rsidR="008506CE" w:rsidRPr="008506CE" w:rsidRDefault="008506CE" w:rsidP="008506CE">
      <w:pPr>
        <w:spacing w:line="360" w:lineRule="atLeast"/>
        <w:ind w:left="502" w:hanging="502"/>
        <w:jc w:val="both"/>
        <w:rPr>
          <w:rFonts w:cs="Arial"/>
          <w:szCs w:val="24"/>
        </w:rPr>
      </w:pPr>
    </w:p>
    <w:p w14:paraId="373E5A10" w14:textId="78BF5C2A" w:rsidR="008506CE" w:rsidRDefault="00946EBA" w:rsidP="008506CE">
      <w:pPr>
        <w:spacing w:line="360" w:lineRule="atLeast"/>
        <w:ind w:left="502" w:hanging="502"/>
        <w:jc w:val="both"/>
        <w:rPr>
          <w:rFonts w:cs="Arial"/>
          <w:szCs w:val="24"/>
        </w:rPr>
      </w:pPr>
      <w:r>
        <w:rPr>
          <w:rFonts w:cs="Arial"/>
          <w:szCs w:val="24"/>
        </w:rPr>
        <w:t>(2)</w:t>
      </w:r>
      <w:r>
        <w:rPr>
          <w:rFonts w:cs="Arial"/>
          <w:szCs w:val="24"/>
        </w:rPr>
        <w:tab/>
      </w:r>
      <w:r w:rsidR="00A63125" w:rsidRPr="00A63125">
        <w:rPr>
          <w:rFonts w:cs="Arial"/>
          <w:szCs w:val="24"/>
        </w:rPr>
        <w:t>Gegenstände, die zur Erfüllung des Zuwen</w:t>
      </w:r>
      <w:r w:rsidR="00A63125">
        <w:rPr>
          <w:rFonts w:cs="Arial"/>
          <w:szCs w:val="24"/>
        </w:rPr>
        <w:t>dungszwecks erworben oder herge</w:t>
      </w:r>
      <w:r w:rsidR="00A63125" w:rsidRPr="00A63125">
        <w:rPr>
          <w:rFonts w:cs="Arial"/>
          <w:szCs w:val="24"/>
        </w:rPr>
        <w:t>stellt werden, sind für den Zuwendungszweck zu</w:t>
      </w:r>
      <w:r w:rsidR="00A63125">
        <w:rPr>
          <w:rFonts w:cs="Arial"/>
          <w:szCs w:val="24"/>
        </w:rPr>
        <w:t xml:space="preserve"> verwenden und sorgfältig zu be</w:t>
      </w:r>
      <w:r w:rsidR="00A63125" w:rsidRPr="00A63125">
        <w:rPr>
          <w:rFonts w:cs="Arial"/>
          <w:szCs w:val="24"/>
        </w:rPr>
        <w:t>handeln.</w:t>
      </w:r>
    </w:p>
    <w:p w14:paraId="74F3C3AB" w14:textId="77777777" w:rsidR="00946EBA" w:rsidRPr="008506CE" w:rsidRDefault="00946EBA" w:rsidP="008506CE">
      <w:pPr>
        <w:spacing w:line="360" w:lineRule="atLeast"/>
        <w:ind w:left="502" w:hanging="502"/>
        <w:jc w:val="both"/>
        <w:rPr>
          <w:rFonts w:cs="Arial"/>
          <w:szCs w:val="24"/>
        </w:rPr>
      </w:pPr>
    </w:p>
    <w:p w14:paraId="03EA2DFD" w14:textId="77777777" w:rsidR="00946EBA" w:rsidRDefault="008506CE" w:rsidP="00946EBA">
      <w:pPr>
        <w:pStyle w:val="Listenabsatz"/>
        <w:spacing w:after="0" w:line="360" w:lineRule="atLeast"/>
        <w:ind w:left="502" w:hanging="502"/>
        <w:jc w:val="both"/>
        <w:rPr>
          <w:rFonts w:ascii="Arial" w:hAnsi="Arial" w:cs="Arial"/>
          <w:sz w:val="24"/>
          <w:szCs w:val="24"/>
        </w:rPr>
      </w:pPr>
      <w:r w:rsidRPr="008506CE">
        <w:rPr>
          <w:rFonts w:ascii="Arial" w:hAnsi="Arial" w:cs="Arial"/>
          <w:sz w:val="24"/>
          <w:szCs w:val="24"/>
        </w:rPr>
        <w:t xml:space="preserve">(3) </w:t>
      </w:r>
      <w:r w:rsidRPr="008506CE">
        <w:rPr>
          <w:rFonts w:ascii="Arial" w:hAnsi="Arial" w:cs="Arial"/>
          <w:sz w:val="24"/>
          <w:szCs w:val="24"/>
        </w:rPr>
        <w:tab/>
        <w:t>Der Letztempfänger ist verpflichtet, unverzüglich dem</w:t>
      </w:r>
      <w:r w:rsidR="00946EBA">
        <w:rPr>
          <w:rFonts w:ascii="Arial" w:hAnsi="Arial" w:cs="Arial"/>
          <w:sz w:val="24"/>
          <w:szCs w:val="24"/>
        </w:rPr>
        <w:t xml:space="preserve"> Erstempfänger anzuzeigen, wenn</w:t>
      </w:r>
    </w:p>
    <w:p w14:paraId="632EB48D" w14:textId="77777777" w:rsidR="00946EBA" w:rsidRDefault="00946EBA" w:rsidP="00946EBA">
      <w:pPr>
        <w:pStyle w:val="Listenabsatz"/>
        <w:spacing w:after="0" w:line="360" w:lineRule="atLeast"/>
        <w:ind w:left="502" w:hanging="502"/>
        <w:jc w:val="both"/>
        <w:rPr>
          <w:rFonts w:ascii="Arial" w:hAnsi="Arial" w:cs="Arial"/>
          <w:sz w:val="24"/>
          <w:szCs w:val="24"/>
        </w:rPr>
      </w:pPr>
    </w:p>
    <w:p w14:paraId="40878FD1" w14:textId="2457C998" w:rsidR="008506CE" w:rsidRPr="008506CE" w:rsidRDefault="008506CE" w:rsidP="00946EBA">
      <w:pPr>
        <w:pStyle w:val="Listenabsatz"/>
        <w:numPr>
          <w:ilvl w:val="0"/>
          <w:numId w:val="2"/>
        </w:numPr>
        <w:spacing w:after="0" w:line="360" w:lineRule="atLeast"/>
        <w:ind w:left="720"/>
        <w:jc w:val="both"/>
        <w:rPr>
          <w:rFonts w:ascii="Arial" w:hAnsi="Arial" w:cs="Arial"/>
          <w:sz w:val="24"/>
          <w:szCs w:val="24"/>
        </w:rPr>
      </w:pPr>
      <w:r w:rsidRPr="008506CE">
        <w:rPr>
          <w:rFonts w:ascii="Arial" w:hAnsi="Arial" w:cs="Arial"/>
          <w:sz w:val="24"/>
          <w:szCs w:val="24"/>
        </w:rPr>
        <w:t>er nach Antragstellung weitere Zuwendungen für denselben Zweck bei anderen öffentlichen Stellen beantragt oder von ihnen erhält oder wenn er weitere Mittel von Dritten erhält,</w:t>
      </w:r>
    </w:p>
    <w:p w14:paraId="237D2352" w14:textId="77777777" w:rsidR="007B61CB" w:rsidRDefault="008506CE" w:rsidP="007B61CB">
      <w:pPr>
        <w:pStyle w:val="Listenabsatz"/>
        <w:numPr>
          <w:ilvl w:val="0"/>
          <w:numId w:val="2"/>
        </w:numPr>
        <w:spacing w:after="0" w:line="360" w:lineRule="atLeast"/>
        <w:ind w:left="720"/>
        <w:jc w:val="both"/>
        <w:rPr>
          <w:rFonts w:ascii="Arial" w:hAnsi="Arial" w:cs="Arial"/>
          <w:sz w:val="24"/>
          <w:szCs w:val="24"/>
        </w:rPr>
      </w:pPr>
      <w:r w:rsidRPr="009270D5">
        <w:rPr>
          <w:rFonts w:ascii="Arial" w:hAnsi="Arial" w:cs="Arial"/>
          <w:sz w:val="24"/>
          <w:szCs w:val="24"/>
        </w:rPr>
        <w:t xml:space="preserve">der Verwendungszweck oder sonstige für die </w:t>
      </w:r>
      <w:r w:rsidR="009270D5" w:rsidRPr="009270D5">
        <w:rPr>
          <w:rFonts w:ascii="Arial" w:hAnsi="Arial" w:cs="Arial"/>
          <w:sz w:val="24"/>
          <w:szCs w:val="24"/>
        </w:rPr>
        <w:t xml:space="preserve">Auszahlung </w:t>
      </w:r>
      <w:r w:rsidRPr="009270D5">
        <w:rPr>
          <w:rFonts w:ascii="Arial" w:hAnsi="Arial" w:cs="Arial"/>
          <w:sz w:val="24"/>
          <w:szCs w:val="24"/>
        </w:rPr>
        <w:t>der Zuwendung maßgebliche Umstände sich ändern oder wegfallen</w:t>
      </w:r>
      <w:r w:rsidR="009270D5">
        <w:rPr>
          <w:rFonts w:ascii="Arial" w:hAnsi="Arial" w:cs="Arial"/>
          <w:sz w:val="24"/>
          <w:szCs w:val="24"/>
        </w:rPr>
        <w:t>,</w:t>
      </w:r>
    </w:p>
    <w:p w14:paraId="76D3EB4E" w14:textId="16786310" w:rsidR="008506CE" w:rsidRPr="009270D5" w:rsidRDefault="008506CE" w:rsidP="007B61CB">
      <w:pPr>
        <w:pStyle w:val="Listenabsatz"/>
        <w:numPr>
          <w:ilvl w:val="0"/>
          <w:numId w:val="2"/>
        </w:numPr>
        <w:spacing w:after="0" w:line="360" w:lineRule="atLeast"/>
        <w:ind w:left="720"/>
        <w:jc w:val="both"/>
        <w:rPr>
          <w:rFonts w:ascii="Arial" w:hAnsi="Arial" w:cs="Arial"/>
          <w:sz w:val="24"/>
          <w:szCs w:val="24"/>
        </w:rPr>
      </w:pPr>
      <w:r w:rsidRPr="009270D5">
        <w:rPr>
          <w:rFonts w:ascii="Arial" w:hAnsi="Arial" w:cs="Arial"/>
          <w:sz w:val="24"/>
          <w:szCs w:val="24"/>
        </w:rPr>
        <w:t>sich herausstellt, dass der Zuwendungszweck nicht oder mit der bewilligten Zuwendung nicht zu erreichen ist,</w:t>
      </w:r>
    </w:p>
    <w:p w14:paraId="32E27578" w14:textId="77777777" w:rsidR="008506CE" w:rsidRPr="008506CE" w:rsidRDefault="008506CE" w:rsidP="008506CE">
      <w:pPr>
        <w:spacing w:line="360" w:lineRule="atLeast"/>
        <w:ind w:left="502" w:hanging="502"/>
        <w:jc w:val="both"/>
        <w:rPr>
          <w:rFonts w:cs="Arial"/>
          <w:szCs w:val="24"/>
        </w:rPr>
      </w:pPr>
    </w:p>
    <w:p w14:paraId="4639B67D" w14:textId="5B07C008" w:rsidR="007B61CB" w:rsidRDefault="008506CE" w:rsidP="008506CE">
      <w:pPr>
        <w:spacing w:line="360" w:lineRule="atLeast"/>
        <w:ind w:left="502" w:hanging="502"/>
        <w:jc w:val="both"/>
        <w:rPr>
          <w:rFonts w:cs="Arial"/>
          <w:szCs w:val="24"/>
        </w:rPr>
      </w:pPr>
      <w:r w:rsidRPr="008506CE">
        <w:rPr>
          <w:rFonts w:cs="Arial"/>
          <w:szCs w:val="24"/>
        </w:rPr>
        <w:t>(4)</w:t>
      </w:r>
      <w:r w:rsidRPr="008506CE">
        <w:rPr>
          <w:rFonts w:cs="Arial"/>
          <w:szCs w:val="24"/>
        </w:rPr>
        <w:tab/>
      </w:r>
      <w:r w:rsidR="007B61CB">
        <w:rPr>
          <w:rFonts w:cs="Arial"/>
          <w:szCs w:val="24"/>
        </w:rPr>
        <w:t xml:space="preserve">Der Letztempfänger hat beim Erstempfänger nach Durchführung der Beschaffungen einen Verwendungsnachweis mit dem vorgegebenen Formular einzureichen. Dieser ist bis spätestens zum 1. März 2024 beim Erstempfänger vorzulegen. </w:t>
      </w:r>
      <w:r w:rsidR="007B61CB" w:rsidRPr="008506CE">
        <w:rPr>
          <w:rFonts w:cs="Arial"/>
          <w:szCs w:val="24"/>
        </w:rPr>
        <w:t>Im Verwendungsnachweis ist zu bestätigen, dass die Bestimmungen dieses Zuwendungsvertrags beachtet wurden, die Ausgaben notwendig waren, dass wirtschaftlich und sparsam verfahren worden ist und die Angaben mit den Büchern und Belegen übereinstimmen.</w:t>
      </w:r>
    </w:p>
    <w:p w14:paraId="56BC9452" w14:textId="77777777" w:rsidR="007B61CB" w:rsidRDefault="007B61CB" w:rsidP="008506CE">
      <w:pPr>
        <w:spacing w:line="360" w:lineRule="atLeast"/>
        <w:ind w:left="502" w:hanging="502"/>
        <w:jc w:val="both"/>
        <w:rPr>
          <w:rFonts w:cs="Arial"/>
          <w:szCs w:val="24"/>
        </w:rPr>
      </w:pPr>
    </w:p>
    <w:p w14:paraId="600CEC8A" w14:textId="3270DA5F" w:rsidR="008506CE" w:rsidRDefault="007B61CB" w:rsidP="008506CE">
      <w:pPr>
        <w:spacing w:line="360" w:lineRule="atLeast"/>
        <w:ind w:left="502" w:hanging="502"/>
        <w:jc w:val="both"/>
        <w:rPr>
          <w:rFonts w:cs="Arial"/>
          <w:szCs w:val="24"/>
        </w:rPr>
      </w:pPr>
      <w:r>
        <w:rPr>
          <w:rFonts w:cs="Arial"/>
          <w:szCs w:val="24"/>
        </w:rPr>
        <w:t xml:space="preserve">(5) </w:t>
      </w:r>
      <w:r>
        <w:rPr>
          <w:rFonts w:cs="Arial"/>
          <w:szCs w:val="24"/>
        </w:rPr>
        <w:tab/>
      </w:r>
      <w:r w:rsidR="001221AC">
        <w:rPr>
          <w:rFonts w:cs="Arial"/>
          <w:szCs w:val="24"/>
        </w:rPr>
        <w:t xml:space="preserve">Der </w:t>
      </w:r>
      <w:r>
        <w:rPr>
          <w:rFonts w:cs="Arial"/>
          <w:szCs w:val="24"/>
        </w:rPr>
        <w:t>Letztempfänger</w:t>
      </w:r>
      <w:r w:rsidR="001221AC">
        <w:rPr>
          <w:rFonts w:cs="Arial"/>
          <w:szCs w:val="24"/>
        </w:rPr>
        <w:t xml:space="preserve"> hat die angefallenen Rechnungs- und Zahlungsbelege zur Gründung einer Schulimkerei bzw. zur Technisierung der Bienenstöcke bis zum 31.12.2028 aufzubewahren.</w:t>
      </w:r>
    </w:p>
    <w:p w14:paraId="2E76304D" w14:textId="77777777" w:rsidR="00946EBA" w:rsidRPr="008506CE" w:rsidRDefault="00946EBA" w:rsidP="008506CE">
      <w:pPr>
        <w:spacing w:line="360" w:lineRule="atLeast"/>
        <w:ind w:left="502" w:hanging="502"/>
        <w:jc w:val="both"/>
        <w:rPr>
          <w:rFonts w:cs="Arial"/>
          <w:szCs w:val="24"/>
        </w:rPr>
      </w:pPr>
    </w:p>
    <w:p w14:paraId="6ADB476B" w14:textId="1D173154" w:rsidR="008506CE" w:rsidRPr="008506CE" w:rsidRDefault="008506CE" w:rsidP="008506CE">
      <w:pPr>
        <w:spacing w:line="360" w:lineRule="atLeast"/>
        <w:ind w:left="502" w:hanging="502"/>
        <w:jc w:val="both"/>
        <w:rPr>
          <w:rFonts w:cs="Arial"/>
          <w:szCs w:val="24"/>
        </w:rPr>
      </w:pPr>
      <w:r w:rsidRPr="008506CE">
        <w:rPr>
          <w:rFonts w:cs="Arial"/>
          <w:szCs w:val="24"/>
        </w:rPr>
        <w:t>(5)</w:t>
      </w:r>
      <w:r w:rsidRPr="008506CE">
        <w:rPr>
          <w:rFonts w:cs="Arial"/>
          <w:szCs w:val="24"/>
        </w:rPr>
        <w:tab/>
        <w:t xml:space="preserve">Dem Erstempfänger und dem </w:t>
      </w:r>
      <w:r w:rsidR="00946EBA">
        <w:rPr>
          <w:rFonts w:cs="Arial"/>
          <w:szCs w:val="24"/>
        </w:rPr>
        <w:t>Ministerium für Ernährung, Ländlichen Raum und Verbraucherschutz</w:t>
      </w:r>
      <w:r w:rsidRPr="008506CE">
        <w:rPr>
          <w:rFonts w:cs="Arial"/>
          <w:szCs w:val="24"/>
        </w:rPr>
        <w:t xml:space="preserve"> ist das uneingeschränkte Prüfungs-, Auskunfts- und Betretungsrecht einzuräumen. Der Letztempfänger hat die erforderlichen Unterlagen bereitzuhalten und die notwendigen Auskünfte zu erteilen. Nach § 91 Abs. 1 Satz 2 der Landeshaushaltsordnung steht dem Rechnungshof Baden-Württemberg und den Rechnungsprüfungsämtern ebenfalls ein uneingeschränktes Prüfungs- und Betretungsrecht zu. </w:t>
      </w:r>
    </w:p>
    <w:p w14:paraId="794FB32D" w14:textId="77777777" w:rsidR="008506CE" w:rsidRPr="008506CE" w:rsidRDefault="008506CE" w:rsidP="008506CE">
      <w:pPr>
        <w:spacing w:line="360" w:lineRule="atLeast"/>
        <w:ind w:left="502" w:hanging="502"/>
        <w:jc w:val="both"/>
        <w:rPr>
          <w:rFonts w:cs="Arial"/>
          <w:szCs w:val="24"/>
        </w:rPr>
      </w:pPr>
    </w:p>
    <w:p w14:paraId="0199C75A" w14:textId="77777777" w:rsidR="008506CE" w:rsidRPr="008506CE" w:rsidRDefault="008506CE" w:rsidP="008506CE">
      <w:pPr>
        <w:spacing w:line="360" w:lineRule="atLeast"/>
        <w:ind w:left="502" w:hanging="502"/>
        <w:jc w:val="both"/>
        <w:rPr>
          <w:rFonts w:cs="Arial"/>
          <w:szCs w:val="24"/>
        </w:rPr>
      </w:pPr>
      <w:r w:rsidRPr="008506CE">
        <w:rPr>
          <w:rFonts w:cs="Arial"/>
          <w:szCs w:val="24"/>
        </w:rPr>
        <w:t>(6)</w:t>
      </w:r>
      <w:r w:rsidRPr="008506CE">
        <w:rPr>
          <w:rFonts w:cs="Arial"/>
          <w:szCs w:val="24"/>
        </w:rPr>
        <w:tab/>
        <w:t xml:space="preserve">Der Erstempfänger ist berechtigt, aus wichtigem Grund von diesem Vertrag zurückzutreten. Ein wichtiger Grund ist insbesondere, wenn </w:t>
      </w:r>
    </w:p>
    <w:p w14:paraId="038180DF" w14:textId="77777777" w:rsidR="008506CE" w:rsidRPr="008506CE" w:rsidRDefault="008506CE" w:rsidP="008506CE">
      <w:pPr>
        <w:spacing w:line="360" w:lineRule="atLeast"/>
        <w:ind w:left="502" w:hanging="502"/>
        <w:jc w:val="both"/>
        <w:rPr>
          <w:rFonts w:cs="Arial"/>
          <w:szCs w:val="24"/>
        </w:rPr>
      </w:pPr>
    </w:p>
    <w:p w14:paraId="1A398ED5" w14:textId="77777777" w:rsidR="008506CE" w:rsidRPr="008506CE" w:rsidRDefault="008506CE" w:rsidP="008506CE">
      <w:pPr>
        <w:pStyle w:val="Listenabsatz"/>
        <w:numPr>
          <w:ilvl w:val="0"/>
          <w:numId w:val="3"/>
        </w:numPr>
        <w:spacing w:after="0" w:line="360" w:lineRule="atLeast"/>
        <w:ind w:left="720"/>
        <w:jc w:val="both"/>
        <w:rPr>
          <w:rFonts w:ascii="Arial" w:hAnsi="Arial" w:cs="Arial"/>
          <w:sz w:val="24"/>
          <w:szCs w:val="24"/>
        </w:rPr>
      </w:pPr>
      <w:r w:rsidRPr="008506CE">
        <w:rPr>
          <w:rFonts w:ascii="Arial" w:hAnsi="Arial" w:cs="Arial"/>
          <w:sz w:val="24"/>
          <w:szCs w:val="24"/>
        </w:rPr>
        <w:t xml:space="preserve">die Voraussetzungen für den Vertrag nachträglich entfallen sind oder </w:t>
      </w:r>
    </w:p>
    <w:p w14:paraId="2D29399C" w14:textId="77777777" w:rsidR="008506CE" w:rsidRPr="008506CE" w:rsidRDefault="008506CE" w:rsidP="008506CE">
      <w:pPr>
        <w:pStyle w:val="Listenabsatz"/>
        <w:numPr>
          <w:ilvl w:val="0"/>
          <w:numId w:val="3"/>
        </w:numPr>
        <w:spacing w:after="0" w:line="360" w:lineRule="atLeast"/>
        <w:ind w:left="720"/>
        <w:jc w:val="both"/>
        <w:rPr>
          <w:rFonts w:ascii="Arial" w:hAnsi="Arial" w:cs="Arial"/>
          <w:sz w:val="24"/>
          <w:szCs w:val="24"/>
        </w:rPr>
      </w:pPr>
      <w:r w:rsidRPr="008506CE">
        <w:rPr>
          <w:rFonts w:ascii="Arial" w:hAnsi="Arial" w:cs="Arial"/>
          <w:sz w:val="24"/>
          <w:szCs w:val="24"/>
        </w:rPr>
        <w:lastRenderedPageBreak/>
        <w:t>der Abschluss des Vertrags durch Angaben des Letztempfängers zustande gekommen ist, die in wesentlicher Beziehung unrichtig oder unvollständig waren oder</w:t>
      </w:r>
    </w:p>
    <w:p w14:paraId="2193E108" w14:textId="77777777" w:rsidR="008506CE" w:rsidRPr="008506CE" w:rsidRDefault="008506CE" w:rsidP="008506CE">
      <w:pPr>
        <w:pStyle w:val="Listenabsatz"/>
        <w:numPr>
          <w:ilvl w:val="0"/>
          <w:numId w:val="3"/>
        </w:numPr>
        <w:spacing w:after="0" w:line="360" w:lineRule="atLeast"/>
        <w:ind w:left="720"/>
        <w:jc w:val="both"/>
        <w:rPr>
          <w:rFonts w:ascii="Arial" w:hAnsi="Arial" w:cs="Arial"/>
          <w:sz w:val="24"/>
          <w:szCs w:val="24"/>
        </w:rPr>
      </w:pPr>
      <w:r w:rsidRPr="008506CE">
        <w:rPr>
          <w:rFonts w:ascii="Arial" w:hAnsi="Arial" w:cs="Arial"/>
          <w:sz w:val="24"/>
          <w:szCs w:val="24"/>
        </w:rPr>
        <w:t>der Letztempfänger den im Zuwendungsbescheid auferlegten Verpflichtungen nicht nachkommt.</w:t>
      </w:r>
    </w:p>
    <w:p w14:paraId="412CC746" w14:textId="77777777" w:rsidR="008506CE" w:rsidRPr="008506CE" w:rsidRDefault="008506CE" w:rsidP="008506CE">
      <w:pPr>
        <w:spacing w:line="360" w:lineRule="atLeast"/>
        <w:ind w:left="502" w:hanging="502"/>
        <w:jc w:val="both"/>
        <w:rPr>
          <w:rFonts w:cs="Arial"/>
          <w:szCs w:val="24"/>
        </w:rPr>
      </w:pPr>
    </w:p>
    <w:p w14:paraId="6DE59A53" w14:textId="33974133" w:rsidR="008506CE" w:rsidRPr="008506CE" w:rsidRDefault="008506CE" w:rsidP="008506CE">
      <w:pPr>
        <w:spacing w:line="360" w:lineRule="atLeast"/>
        <w:ind w:left="502" w:hanging="502"/>
        <w:jc w:val="both"/>
        <w:rPr>
          <w:rFonts w:cs="Arial"/>
          <w:szCs w:val="24"/>
        </w:rPr>
      </w:pPr>
      <w:r w:rsidRPr="008506CE">
        <w:rPr>
          <w:rFonts w:cs="Arial"/>
          <w:szCs w:val="24"/>
        </w:rPr>
        <w:t>(7)</w:t>
      </w:r>
      <w:r w:rsidRPr="008506CE">
        <w:rPr>
          <w:rFonts w:cs="Arial"/>
          <w:szCs w:val="24"/>
        </w:rPr>
        <w:tab/>
        <w:t xml:space="preserve">Die Zuwendung ist dem Erstempfänger ganz zurück zu zahlen, wenn </w:t>
      </w:r>
      <w:r w:rsidR="001221AC">
        <w:rPr>
          <w:rFonts w:cs="Arial"/>
          <w:szCs w:val="24"/>
        </w:rPr>
        <w:t>keine Schulimkerei gegründet worden ist oder die Technisierung (High-Tech-Bienenvölker) nicht umgesetzt worden ist</w:t>
      </w:r>
      <w:r w:rsidRPr="008506CE">
        <w:rPr>
          <w:rFonts w:cs="Arial"/>
          <w:szCs w:val="24"/>
        </w:rPr>
        <w:t xml:space="preserve"> oder der Erstempfänger nach (6) vom Vertrag zurücktritt.</w:t>
      </w:r>
    </w:p>
    <w:p w14:paraId="69410DA3" w14:textId="77777777" w:rsidR="008506CE" w:rsidRPr="008506CE" w:rsidRDefault="008506CE" w:rsidP="008506CE">
      <w:pPr>
        <w:spacing w:line="360" w:lineRule="atLeast"/>
        <w:ind w:left="502" w:hanging="502"/>
        <w:jc w:val="both"/>
        <w:rPr>
          <w:rFonts w:cs="Arial"/>
          <w:szCs w:val="24"/>
        </w:rPr>
      </w:pPr>
    </w:p>
    <w:p w14:paraId="7FB51973" w14:textId="77777777" w:rsidR="008506CE" w:rsidRPr="008506CE" w:rsidRDefault="008506CE" w:rsidP="008506CE">
      <w:pPr>
        <w:spacing w:line="360" w:lineRule="atLeast"/>
        <w:ind w:left="502" w:hanging="502"/>
        <w:jc w:val="both"/>
        <w:rPr>
          <w:rFonts w:cs="Arial"/>
          <w:szCs w:val="24"/>
        </w:rPr>
      </w:pPr>
      <w:r w:rsidRPr="008506CE">
        <w:rPr>
          <w:rFonts w:cs="Arial"/>
          <w:szCs w:val="24"/>
        </w:rPr>
        <w:t>(8)</w:t>
      </w:r>
      <w:r w:rsidRPr="008506CE">
        <w:rPr>
          <w:rFonts w:cs="Arial"/>
          <w:szCs w:val="24"/>
        </w:rPr>
        <w:tab/>
        <w:t>Verzinsung von Rückzahlungsansprüchen</w:t>
      </w:r>
    </w:p>
    <w:p w14:paraId="619E5EEA" w14:textId="77777777" w:rsidR="008506CE" w:rsidRPr="008506CE" w:rsidRDefault="008506CE" w:rsidP="008506CE">
      <w:pPr>
        <w:spacing w:line="360" w:lineRule="atLeast"/>
        <w:ind w:left="502" w:hanging="502"/>
        <w:jc w:val="both"/>
        <w:rPr>
          <w:rFonts w:cs="Arial"/>
          <w:szCs w:val="24"/>
        </w:rPr>
      </w:pPr>
      <w:r w:rsidRPr="008506CE">
        <w:rPr>
          <w:rFonts w:cs="Arial"/>
          <w:szCs w:val="24"/>
        </w:rPr>
        <w:tab/>
        <w:t>Der Rückzahlungsanspruch nach (7) ist entsprechend den Regelungen des § 49a Landesverwaltungsverfahrensgesetz zu verzinsen.</w:t>
      </w:r>
    </w:p>
    <w:p w14:paraId="13AC26E1" w14:textId="77777777" w:rsidR="008506CE" w:rsidRDefault="008506CE" w:rsidP="008506CE">
      <w:pPr>
        <w:rPr>
          <w:rFonts w:cs="Arial"/>
          <w:szCs w:val="24"/>
        </w:rPr>
      </w:pPr>
    </w:p>
    <w:p w14:paraId="4E5C407B" w14:textId="77777777" w:rsidR="008506CE" w:rsidRDefault="008506CE" w:rsidP="008506CE">
      <w:pPr>
        <w:rPr>
          <w:rFonts w:cs="Arial"/>
          <w:szCs w:val="24"/>
        </w:rPr>
      </w:pPr>
    </w:p>
    <w:p w14:paraId="4422981C" w14:textId="77777777" w:rsidR="008506CE" w:rsidRDefault="008506CE" w:rsidP="008506CE">
      <w:pPr>
        <w:spacing w:line="360" w:lineRule="auto"/>
        <w:rPr>
          <w:szCs w:val="24"/>
        </w:rPr>
      </w:pPr>
    </w:p>
    <w:p w14:paraId="7E323373" w14:textId="77777777" w:rsidR="008506CE" w:rsidRDefault="008506CE" w:rsidP="008506CE">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116"/>
        <w:gridCol w:w="4547"/>
      </w:tblGrid>
      <w:tr w:rsidR="008506CE" w:rsidRPr="001221AC" w14:paraId="6007877D" w14:textId="77777777" w:rsidTr="005872F7">
        <w:tc>
          <w:tcPr>
            <w:tcW w:w="4077" w:type="dxa"/>
            <w:tcBorders>
              <w:top w:val="single" w:sz="4" w:space="0" w:color="FFFFFF"/>
              <w:left w:val="single" w:sz="4" w:space="0" w:color="FFFFFF"/>
              <w:right w:val="single" w:sz="4" w:space="0" w:color="FFFFFF"/>
            </w:tcBorders>
            <w:shd w:val="clear" w:color="auto" w:fill="auto"/>
          </w:tcPr>
          <w:p w14:paraId="66ECB557" w14:textId="77777777" w:rsidR="008506CE" w:rsidRPr="001221AC" w:rsidRDefault="008506CE" w:rsidP="005872F7">
            <w:pPr>
              <w:rPr>
                <w:rFonts w:eastAsia="Calibri"/>
                <w:bCs/>
                <w:szCs w:val="24"/>
              </w:rPr>
            </w:pPr>
          </w:p>
        </w:tc>
        <w:tc>
          <w:tcPr>
            <w:tcW w:w="1134" w:type="dxa"/>
            <w:tcBorders>
              <w:top w:val="single" w:sz="4" w:space="0" w:color="FFFFFF"/>
              <w:left w:val="single" w:sz="4" w:space="0" w:color="FFFFFF"/>
              <w:bottom w:val="single" w:sz="4" w:space="0" w:color="FFFFFF"/>
              <w:right w:val="single" w:sz="4" w:space="0" w:color="FFFFFF"/>
            </w:tcBorders>
            <w:shd w:val="clear" w:color="auto" w:fill="auto"/>
          </w:tcPr>
          <w:p w14:paraId="21F5C078" w14:textId="77777777" w:rsidR="008506CE" w:rsidRPr="001221AC" w:rsidRDefault="008506CE" w:rsidP="005872F7">
            <w:pPr>
              <w:rPr>
                <w:rFonts w:eastAsia="Calibri"/>
                <w:bCs/>
                <w:szCs w:val="24"/>
              </w:rPr>
            </w:pPr>
          </w:p>
        </w:tc>
        <w:tc>
          <w:tcPr>
            <w:tcW w:w="4618" w:type="dxa"/>
            <w:tcBorders>
              <w:top w:val="single" w:sz="4" w:space="0" w:color="FFFFFF"/>
              <w:left w:val="single" w:sz="4" w:space="0" w:color="FFFFFF"/>
              <w:right w:val="single" w:sz="4" w:space="0" w:color="FFFFFF"/>
            </w:tcBorders>
            <w:shd w:val="clear" w:color="auto" w:fill="auto"/>
          </w:tcPr>
          <w:p w14:paraId="6BE58AB7" w14:textId="77777777" w:rsidR="008506CE" w:rsidRPr="001221AC" w:rsidRDefault="008506CE" w:rsidP="005872F7">
            <w:pPr>
              <w:rPr>
                <w:rFonts w:eastAsia="Calibri"/>
                <w:bCs/>
                <w:szCs w:val="24"/>
              </w:rPr>
            </w:pPr>
          </w:p>
        </w:tc>
      </w:tr>
      <w:tr w:rsidR="008506CE" w:rsidRPr="001221AC" w14:paraId="2D43C159" w14:textId="77777777" w:rsidTr="005872F7">
        <w:tc>
          <w:tcPr>
            <w:tcW w:w="4077" w:type="dxa"/>
            <w:tcBorders>
              <w:left w:val="single" w:sz="4" w:space="0" w:color="FFFFFF"/>
              <w:bottom w:val="single" w:sz="4" w:space="0" w:color="FFFFFF"/>
              <w:right w:val="single" w:sz="4" w:space="0" w:color="FFFFFF"/>
            </w:tcBorders>
            <w:shd w:val="clear" w:color="auto" w:fill="auto"/>
          </w:tcPr>
          <w:p w14:paraId="1BE5ADBD" w14:textId="77777777" w:rsidR="008506CE" w:rsidRPr="001221AC" w:rsidRDefault="008506CE" w:rsidP="005872F7">
            <w:pPr>
              <w:rPr>
                <w:rFonts w:eastAsia="Calibri"/>
                <w:bCs/>
                <w:szCs w:val="24"/>
              </w:rPr>
            </w:pPr>
            <w:r w:rsidRPr="001221AC">
              <w:rPr>
                <w:rFonts w:eastAsia="Calibri"/>
                <w:szCs w:val="24"/>
              </w:rPr>
              <w:t>Ort, Datum</w:t>
            </w:r>
          </w:p>
        </w:tc>
        <w:tc>
          <w:tcPr>
            <w:tcW w:w="1134" w:type="dxa"/>
            <w:tcBorders>
              <w:top w:val="single" w:sz="4" w:space="0" w:color="FFFFFF"/>
              <w:left w:val="single" w:sz="4" w:space="0" w:color="FFFFFF"/>
              <w:bottom w:val="single" w:sz="4" w:space="0" w:color="FFFFFF"/>
              <w:right w:val="single" w:sz="4" w:space="0" w:color="FFFFFF"/>
            </w:tcBorders>
            <w:shd w:val="clear" w:color="auto" w:fill="auto"/>
          </w:tcPr>
          <w:p w14:paraId="5546F1A4" w14:textId="77777777" w:rsidR="008506CE" w:rsidRPr="001221AC" w:rsidRDefault="008506CE" w:rsidP="005872F7">
            <w:pPr>
              <w:rPr>
                <w:rFonts w:eastAsia="Calibri"/>
                <w:bCs/>
                <w:szCs w:val="24"/>
              </w:rPr>
            </w:pPr>
          </w:p>
        </w:tc>
        <w:tc>
          <w:tcPr>
            <w:tcW w:w="4618" w:type="dxa"/>
            <w:tcBorders>
              <w:left w:val="single" w:sz="4" w:space="0" w:color="FFFFFF"/>
              <w:bottom w:val="single" w:sz="4" w:space="0" w:color="FFFFFF"/>
              <w:right w:val="single" w:sz="4" w:space="0" w:color="FFFFFF"/>
            </w:tcBorders>
            <w:shd w:val="clear" w:color="auto" w:fill="auto"/>
          </w:tcPr>
          <w:p w14:paraId="1DB11372" w14:textId="77777777" w:rsidR="008506CE" w:rsidRPr="001221AC" w:rsidRDefault="008506CE" w:rsidP="005872F7">
            <w:pPr>
              <w:rPr>
                <w:rFonts w:eastAsia="Calibri"/>
                <w:bCs/>
                <w:szCs w:val="24"/>
              </w:rPr>
            </w:pPr>
            <w:r w:rsidRPr="001221AC">
              <w:rPr>
                <w:rFonts w:eastAsia="Calibri"/>
                <w:szCs w:val="24"/>
              </w:rPr>
              <w:t>Ort, Datum</w:t>
            </w:r>
          </w:p>
        </w:tc>
      </w:tr>
    </w:tbl>
    <w:p w14:paraId="1B5D515F" w14:textId="77777777" w:rsidR="008506CE" w:rsidRDefault="008506CE" w:rsidP="008506CE">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1114"/>
        <w:gridCol w:w="4547"/>
      </w:tblGrid>
      <w:tr w:rsidR="008506CE" w:rsidRPr="001221AC" w14:paraId="503C2048" w14:textId="77777777" w:rsidTr="001221AC">
        <w:tc>
          <w:tcPr>
            <w:tcW w:w="4018" w:type="dxa"/>
            <w:tcBorders>
              <w:top w:val="single" w:sz="4" w:space="0" w:color="FFFFFF"/>
              <w:left w:val="single" w:sz="4" w:space="0" w:color="FFFFFF"/>
              <w:right w:val="single" w:sz="4" w:space="0" w:color="FFFFFF"/>
            </w:tcBorders>
            <w:shd w:val="clear" w:color="auto" w:fill="auto"/>
          </w:tcPr>
          <w:p w14:paraId="66075B69" w14:textId="77777777" w:rsidR="008506CE" w:rsidRPr="001221AC" w:rsidRDefault="008506CE" w:rsidP="005872F7">
            <w:pPr>
              <w:rPr>
                <w:rFonts w:eastAsia="Calibri"/>
                <w:bCs/>
                <w:szCs w:val="24"/>
              </w:rPr>
            </w:pPr>
          </w:p>
        </w:tc>
        <w:tc>
          <w:tcPr>
            <w:tcW w:w="1114" w:type="dxa"/>
            <w:tcBorders>
              <w:top w:val="single" w:sz="4" w:space="0" w:color="FFFFFF"/>
              <w:left w:val="single" w:sz="4" w:space="0" w:color="FFFFFF"/>
              <w:bottom w:val="single" w:sz="4" w:space="0" w:color="FFFFFF"/>
              <w:right w:val="single" w:sz="4" w:space="0" w:color="FFFFFF"/>
            </w:tcBorders>
            <w:shd w:val="clear" w:color="auto" w:fill="auto"/>
          </w:tcPr>
          <w:p w14:paraId="434ACA4C" w14:textId="77777777" w:rsidR="008506CE" w:rsidRPr="001221AC" w:rsidRDefault="008506CE" w:rsidP="005872F7">
            <w:pPr>
              <w:rPr>
                <w:rFonts w:eastAsia="Calibri"/>
                <w:bCs/>
                <w:szCs w:val="24"/>
              </w:rPr>
            </w:pPr>
          </w:p>
        </w:tc>
        <w:tc>
          <w:tcPr>
            <w:tcW w:w="4547" w:type="dxa"/>
            <w:tcBorders>
              <w:top w:val="single" w:sz="4" w:space="0" w:color="FFFFFF"/>
              <w:left w:val="single" w:sz="4" w:space="0" w:color="FFFFFF"/>
              <w:right w:val="single" w:sz="4" w:space="0" w:color="FFFFFF"/>
            </w:tcBorders>
            <w:shd w:val="clear" w:color="auto" w:fill="auto"/>
          </w:tcPr>
          <w:p w14:paraId="273FA8D1" w14:textId="77777777" w:rsidR="008506CE" w:rsidRPr="001221AC" w:rsidRDefault="008506CE" w:rsidP="005872F7">
            <w:pPr>
              <w:rPr>
                <w:rFonts w:eastAsia="Calibri"/>
                <w:bCs/>
                <w:szCs w:val="24"/>
              </w:rPr>
            </w:pPr>
          </w:p>
        </w:tc>
      </w:tr>
      <w:tr w:rsidR="008506CE" w:rsidRPr="001221AC" w14:paraId="5973B1C6" w14:textId="77777777" w:rsidTr="001221AC">
        <w:tc>
          <w:tcPr>
            <w:tcW w:w="4018" w:type="dxa"/>
            <w:tcBorders>
              <w:left w:val="single" w:sz="4" w:space="0" w:color="FFFFFF"/>
              <w:bottom w:val="single" w:sz="4" w:space="0" w:color="FFFFFF"/>
              <w:right w:val="single" w:sz="4" w:space="0" w:color="FFFFFF"/>
            </w:tcBorders>
            <w:shd w:val="clear" w:color="auto" w:fill="auto"/>
          </w:tcPr>
          <w:p w14:paraId="2DAF5980" w14:textId="450FBFFE" w:rsidR="008506CE" w:rsidRPr="001221AC" w:rsidRDefault="008506CE" w:rsidP="00ED0A0C">
            <w:pPr>
              <w:rPr>
                <w:rFonts w:eastAsia="Calibri"/>
                <w:bCs/>
                <w:szCs w:val="24"/>
              </w:rPr>
            </w:pPr>
            <w:r w:rsidRPr="001221AC">
              <w:rPr>
                <w:rFonts w:eastAsia="Calibri"/>
                <w:szCs w:val="24"/>
              </w:rPr>
              <w:t xml:space="preserve">Unterschrift </w:t>
            </w:r>
            <w:r w:rsidR="00ED0A0C">
              <w:rPr>
                <w:rFonts w:eastAsia="Calibri"/>
                <w:szCs w:val="24"/>
              </w:rPr>
              <w:t>Erstempfänger</w:t>
            </w:r>
          </w:p>
        </w:tc>
        <w:tc>
          <w:tcPr>
            <w:tcW w:w="1114" w:type="dxa"/>
            <w:tcBorders>
              <w:top w:val="single" w:sz="4" w:space="0" w:color="FFFFFF"/>
              <w:left w:val="single" w:sz="4" w:space="0" w:color="FFFFFF"/>
              <w:bottom w:val="single" w:sz="4" w:space="0" w:color="FFFFFF"/>
              <w:right w:val="single" w:sz="4" w:space="0" w:color="FFFFFF"/>
            </w:tcBorders>
            <w:shd w:val="clear" w:color="auto" w:fill="auto"/>
          </w:tcPr>
          <w:p w14:paraId="3B095A31" w14:textId="77777777" w:rsidR="008506CE" w:rsidRPr="001221AC" w:rsidRDefault="008506CE" w:rsidP="005872F7">
            <w:pPr>
              <w:rPr>
                <w:rFonts w:eastAsia="Calibri"/>
                <w:bCs/>
                <w:szCs w:val="24"/>
              </w:rPr>
            </w:pPr>
          </w:p>
        </w:tc>
        <w:tc>
          <w:tcPr>
            <w:tcW w:w="4547" w:type="dxa"/>
            <w:tcBorders>
              <w:left w:val="single" w:sz="4" w:space="0" w:color="FFFFFF"/>
              <w:bottom w:val="single" w:sz="4" w:space="0" w:color="FFFFFF"/>
              <w:right w:val="single" w:sz="4" w:space="0" w:color="FFFFFF"/>
            </w:tcBorders>
            <w:shd w:val="clear" w:color="auto" w:fill="auto"/>
          </w:tcPr>
          <w:p w14:paraId="70D5E9B5" w14:textId="25BFF440" w:rsidR="008506CE" w:rsidRPr="001221AC" w:rsidRDefault="008506CE" w:rsidP="00ED0A0C">
            <w:pPr>
              <w:rPr>
                <w:rFonts w:eastAsia="Calibri"/>
                <w:bCs/>
                <w:szCs w:val="24"/>
              </w:rPr>
            </w:pPr>
            <w:r w:rsidRPr="001221AC">
              <w:rPr>
                <w:rFonts w:eastAsia="Calibri"/>
                <w:szCs w:val="24"/>
              </w:rPr>
              <w:t xml:space="preserve">Unterschrift </w:t>
            </w:r>
            <w:r w:rsidR="00ED0A0C">
              <w:rPr>
                <w:rFonts w:eastAsia="Calibri"/>
                <w:szCs w:val="24"/>
              </w:rPr>
              <w:t>Letztempfänger</w:t>
            </w:r>
          </w:p>
        </w:tc>
      </w:tr>
    </w:tbl>
    <w:p w14:paraId="4677DDDC" w14:textId="77777777" w:rsidR="008506CE" w:rsidRDefault="008506CE" w:rsidP="008506CE">
      <w:pPr>
        <w:spacing w:line="360" w:lineRule="auto"/>
        <w:rPr>
          <w:szCs w:val="24"/>
        </w:rPr>
      </w:pPr>
    </w:p>
    <w:p w14:paraId="7F870E18" w14:textId="77777777" w:rsidR="008506CE" w:rsidRPr="00EB40BC" w:rsidRDefault="008506CE" w:rsidP="008506CE">
      <w:pPr>
        <w:spacing w:line="360" w:lineRule="auto"/>
        <w:rPr>
          <w:szCs w:val="24"/>
        </w:rPr>
      </w:pPr>
    </w:p>
    <w:p w14:paraId="7B34B25D" w14:textId="77777777" w:rsidR="008506CE" w:rsidRPr="008506CE" w:rsidRDefault="008506CE" w:rsidP="008506CE">
      <w:pPr>
        <w:rPr>
          <w:rFonts w:cs="Arial"/>
          <w:szCs w:val="24"/>
        </w:rPr>
      </w:pPr>
    </w:p>
    <w:sectPr w:rsidR="008506CE" w:rsidRPr="008506CE" w:rsidSect="00204561">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8BC6" w14:textId="77777777" w:rsidR="002946F7" w:rsidRDefault="002946F7" w:rsidP="00204561">
      <w:r>
        <w:separator/>
      </w:r>
    </w:p>
  </w:endnote>
  <w:endnote w:type="continuationSeparator" w:id="0">
    <w:p w14:paraId="1D1BCA18" w14:textId="77777777" w:rsidR="002946F7" w:rsidRDefault="002946F7"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0B46" w14:textId="77777777" w:rsidR="002D75DD" w:rsidRDefault="002D7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E10C" w14:textId="77777777" w:rsidR="002D75DD" w:rsidRDefault="002D75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FED7" w14:textId="77777777" w:rsidR="002D75DD" w:rsidRDefault="002D7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DD113" w14:textId="77777777" w:rsidR="002946F7" w:rsidRDefault="002946F7" w:rsidP="00204561">
      <w:r>
        <w:separator/>
      </w:r>
    </w:p>
  </w:footnote>
  <w:footnote w:type="continuationSeparator" w:id="0">
    <w:p w14:paraId="21759AD6" w14:textId="77777777" w:rsidR="002946F7" w:rsidRDefault="002946F7"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BD20" w14:textId="77777777" w:rsidR="002D75DD" w:rsidRDefault="002D75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F8E7" w14:textId="13F44ACA" w:rsidR="00204561" w:rsidRDefault="00204561" w:rsidP="00204561">
    <w:pPr>
      <w:jc w:val="center"/>
    </w:pPr>
    <w:r>
      <w:t xml:space="preserve">- </w:t>
    </w:r>
    <w:r>
      <w:fldChar w:fldCharType="begin"/>
    </w:r>
    <w:r>
      <w:instrText>PAGE   \* MERGEFORMAT</w:instrText>
    </w:r>
    <w:r>
      <w:fldChar w:fldCharType="separate"/>
    </w:r>
    <w:r w:rsidR="0025621F">
      <w:rPr>
        <w:noProof/>
      </w:rPr>
      <w:t>2</w:t>
    </w:r>
    <w:r>
      <w:fldChar w:fldCharType="end"/>
    </w:r>
    <w:r>
      <w:t xml:space="preserve"> -</w:t>
    </w:r>
  </w:p>
  <w:p w14:paraId="4A0B9933" w14:textId="77777777" w:rsidR="00204561" w:rsidRDefault="00204561" w:rsidP="00204561">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9BDE" w14:textId="77777777" w:rsidR="002D75DD" w:rsidRDefault="002D75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FF4"/>
    <w:multiLevelType w:val="hybridMultilevel"/>
    <w:tmpl w:val="0950B08A"/>
    <w:lvl w:ilvl="0" w:tplc="FF8ADFE8">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310D0ACA"/>
    <w:multiLevelType w:val="hybridMultilevel"/>
    <w:tmpl w:val="36FE050A"/>
    <w:lvl w:ilvl="0" w:tplc="FF8ADFE8">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56DC0AE0"/>
    <w:multiLevelType w:val="hybridMultilevel"/>
    <w:tmpl w:val="3B327B6E"/>
    <w:lvl w:ilvl="0" w:tplc="2ED03B1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E46CC9"/>
    <w:multiLevelType w:val="hybridMultilevel"/>
    <w:tmpl w:val="0434B05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7"/>
    <w:rsid w:val="0006081E"/>
    <w:rsid w:val="000A21F7"/>
    <w:rsid w:val="001221AC"/>
    <w:rsid w:val="001A2808"/>
    <w:rsid w:val="00204561"/>
    <w:rsid w:val="0025621F"/>
    <w:rsid w:val="002946F7"/>
    <w:rsid w:val="002A0DB1"/>
    <w:rsid w:val="002C170A"/>
    <w:rsid w:val="002D75DD"/>
    <w:rsid w:val="00344DDC"/>
    <w:rsid w:val="003C40E1"/>
    <w:rsid w:val="005C7986"/>
    <w:rsid w:val="006970B9"/>
    <w:rsid w:val="007941D2"/>
    <w:rsid w:val="007B61CB"/>
    <w:rsid w:val="00842A74"/>
    <w:rsid w:val="008506CE"/>
    <w:rsid w:val="00884DA7"/>
    <w:rsid w:val="009270D5"/>
    <w:rsid w:val="00946EBA"/>
    <w:rsid w:val="00960D92"/>
    <w:rsid w:val="00981245"/>
    <w:rsid w:val="00A63125"/>
    <w:rsid w:val="00A82032"/>
    <w:rsid w:val="00C70BD2"/>
    <w:rsid w:val="00C939A9"/>
    <w:rsid w:val="00C955B1"/>
    <w:rsid w:val="00D65104"/>
    <w:rsid w:val="00D75C12"/>
    <w:rsid w:val="00D92ADC"/>
    <w:rsid w:val="00DA6D50"/>
    <w:rsid w:val="00DD2A18"/>
    <w:rsid w:val="00ED0A0C"/>
    <w:rsid w:val="00EE1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D8D8C0"/>
  <w15:chartTrackingRefBased/>
  <w15:docId w15:val="{BB5717FF-F0CA-45C3-B0A5-4E8E4897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table" w:styleId="Tabellenraster">
    <w:name w:val="Table Grid"/>
    <w:basedOn w:val="NormaleTabelle"/>
    <w:uiPriority w:val="59"/>
    <w:rsid w:val="0029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06CE"/>
    <w:pPr>
      <w:spacing w:after="200" w:line="276" w:lineRule="auto"/>
      <w:ind w:left="720"/>
      <w:contextualSpacing/>
    </w:pPr>
    <w:rPr>
      <w:rFonts w:asciiTheme="minorHAnsi" w:hAnsiTheme="minorHAnsi"/>
      <w:sz w:val="22"/>
    </w:rPr>
  </w:style>
  <w:style w:type="character" w:styleId="Kommentarzeichen">
    <w:name w:val="annotation reference"/>
    <w:basedOn w:val="Absatz-Standardschriftart"/>
    <w:uiPriority w:val="99"/>
    <w:semiHidden/>
    <w:unhideWhenUsed/>
    <w:rsid w:val="008506CE"/>
    <w:rPr>
      <w:sz w:val="16"/>
      <w:szCs w:val="16"/>
    </w:rPr>
  </w:style>
  <w:style w:type="paragraph" w:styleId="Kommentartext">
    <w:name w:val="annotation text"/>
    <w:basedOn w:val="Standard"/>
    <w:link w:val="KommentartextZchn"/>
    <w:uiPriority w:val="99"/>
    <w:semiHidden/>
    <w:unhideWhenUsed/>
    <w:rsid w:val="008506CE"/>
    <w:pPr>
      <w:spacing w:after="200"/>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8506CE"/>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9270D5"/>
    <w:pPr>
      <w:spacing w:after="0"/>
    </w:pPr>
    <w:rPr>
      <w:rFonts w:ascii="Arial" w:hAnsi="Arial"/>
      <w:b/>
      <w:bCs/>
    </w:rPr>
  </w:style>
  <w:style w:type="character" w:customStyle="1" w:styleId="KommentarthemaZchn">
    <w:name w:val="Kommentarthema Zchn"/>
    <w:basedOn w:val="KommentartextZchn"/>
    <w:link w:val="Kommentarthema"/>
    <w:uiPriority w:val="99"/>
    <w:semiHidden/>
    <w:rsid w:val="009270D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3F1D4-25BF-4DF3-A0E8-20D5B1C1F587}">
  <ds:schemaRefs>
    <ds:schemaRef ds:uri="http://schemas.microsoft.com/sharepoint/v3"/>
    <ds:schemaRef ds:uri="http://purl.org/dc/terms/"/>
    <ds:schemaRef ds:uri="http://schemas.microsoft.com/office/2006/documentManagement/types"/>
    <ds:schemaRef ds:uri="c270b04f-c2c4-4877-9775-83873f37976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3.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Behringer, Janina (MLR)</dc:creator>
  <cp:keywords/>
  <dc:description/>
  <cp:lastModifiedBy>Behringer, Janina (MLR)</cp:lastModifiedBy>
  <cp:revision>2</cp:revision>
  <dcterms:created xsi:type="dcterms:W3CDTF">2022-07-21T10:55:00Z</dcterms:created>
  <dcterms:modified xsi:type="dcterms:W3CDTF">2022-07-21T10:55:00Z</dcterms:modified>
</cp:coreProperties>
</file>